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ANEXO 3</w:t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TEXTO DE PÓLIZA DE FIANZA </w:t>
      </w:r>
    </w:p>
    <w:p w:rsidR="00000000" w:rsidDel="00000000" w:rsidP="00000000" w:rsidRDefault="00000000" w:rsidRPr="00000000" w14:paraId="00000003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DE LA GARANTÍA DE CUMPLIMIENTO DE LA ORDEN DE COMPRA</w:t>
      </w:r>
    </w:p>
    <w:p w:rsidR="00000000" w:rsidDel="00000000" w:rsidP="00000000" w:rsidRDefault="00000000" w:rsidRPr="00000000" w14:paraId="0000000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br w:type="textWrapping"/>
        <w:t xml:space="preserve">INVITACIÓN A CUANDO MENOS TRES PERSONAS No. TECNM/ITAPIZACO/ITP/002/2019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Montserrat Medium" w:cs="Montserrat Medium" w:eastAsia="Montserrat Medium" w:hAnsi="Montserrat Medium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Las obligaciones derivadas de la suscripción de la orden de compra respectivo, serán garantizadas por el proveedor ganador, mediante fianza expedida por institución autorizada, por un importe equivalente al 10% del monto total de la orden de compra, sin incluir IVA en moneda nacional incluyendo centavos a Favor de la Tesorería de la Federación y a disposición del “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TecNM / Instituto Tecnológico de Apizaco”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En la redacción de la fianza de garantía se deberá indicar “Que garantiza el fiel y exacto cumplimiento de todas y cada una de las obligaciones derivadas de la orden de compra”.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Asimismo, en dicha fianza se deberán transcribir las siguientes leyendas: 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“La institución afianzadora se somete expresamente al procedimiento de ejecución y a las disposiciones que prevén los Artículos 93, 94, 95 y 95 bis de la Ley Federal de Instituciones de Fianzas y/o título V capítulo 1 de la Ley de Protección y Defensa al Usuario de Servicios Financieros así como a lo dispuesto por el Reglamento del Artículo 95 de la Ley de Instituciones de Fianzas, para el cobro de fianzas otorgadas a favor de la Tesorería de la Federación, asimismo, se obliga a observar lo dispuesto por el Artículo 118 de la Ley antes citada.” 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“La presente garantía de cumplimiento de la orden de compra únicamente podrá ser cancelada mediante un escrito de la Dirección de Recursos Materiales y Servicios del Tecnológico Nacional de México y tendrá vigencia durante la substanciación de todos los recursos legales o juicios que se interpongan hasta que se dicte resolución definitiva por autoridad competente”. 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“En caso de prórroga o espera, la vigencia de la fianza quedará automáticamente prorrogada en concordancia con dicha prórroga o espera y al efecto (Compañía emisora de la Fianza) pagará en términos de Ley hasta la cantidad de 10% total de la orden de compra”. Salvo que la entrega de los bienes se realice antes de la fecha establecida en el orden de compra o formalización del mismo.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En caso de incremento en los bienes objeto de la orden de compra, el proveedor deberá entregar la modificación respectiva a la garantía de cumplimiento por dicho incremento. 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-284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Las obligaciones pactadas serán indivisibles, por lo tanto, en caso de incumplimiento, la garantía referida se aplicará por el monto total de las obligaciones garantizadas.</w:t>
      </w:r>
    </w:p>
    <w:p w:rsidR="00000000" w:rsidDel="00000000" w:rsidP="00000000" w:rsidRDefault="00000000" w:rsidRPr="00000000" w14:paraId="00000015">
      <w:pPr>
        <w:tabs>
          <w:tab w:val="left" w:pos="5475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Que la afianzadora renuncia al beneficio que le otorga el artículo 119 de la Ley Federal de Instituciones de Fianzas. Cuando el (los) proveedor(es) ganador(es)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no entreguen los bienes motivo de la orden de compra en la forma, plazos y términos establecidos en este acuerdo de voluntades, no se otorgarán prórrogas, salvo en caso fortuito o fuerza mayor.  </w:t>
      </w:r>
    </w:p>
    <w:p w:rsidR="00000000" w:rsidDel="00000000" w:rsidP="00000000" w:rsidRDefault="00000000" w:rsidRPr="00000000" w14:paraId="00000017">
      <w:pPr>
        <w:tabs>
          <w:tab w:val="left" w:pos="5475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Relationship Id="rId3" Type="http://schemas.openxmlformats.org/officeDocument/2006/relationships/image" Target="media/image1.png"/><Relationship Id="rId4" Type="http://schemas.openxmlformats.org/officeDocument/2006/relationships/image" Target="media/image5.png"/><Relationship Id="rId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